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748" w:rsidRPr="007D5748" w:rsidRDefault="007D5748" w:rsidP="007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Analýza vplyvov na rozpočet verejnej správy,</w:t>
      </w:r>
    </w:p>
    <w:p w:rsidR="007D5748" w:rsidRPr="007D5748" w:rsidRDefault="007D5748" w:rsidP="007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na zamestnanosť vo verejnej správe a financovanie návrhu</w:t>
      </w:r>
    </w:p>
    <w:p w:rsidR="00E963A3" w:rsidRPr="00212894" w:rsidRDefault="00E963A3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E963A3" w:rsidRDefault="00E963A3" w:rsidP="002128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E963A3" w:rsidRPr="00212894" w:rsidRDefault="00E963A3" w:rsidP="002128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21289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2.1 Zhrnutie vplyvov na rozpočet verejnej správy v návrhu</w:t>
      </w:r>
    </w:p>
    <w:p w:rsidR="007D5748" w:rsidRPr="007D5748" w:rsidRDefault="007D5748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Tabuľka č. 1 </w:t>
      </w:r>
    </w:p>
    <w:tbl>
      <w:tblPr>
        <w:tblW w:w="9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1"/>
        <w:gridCol w:w="1267"/>
        <w:gridCol w:w="1267"/>
        <w:gridCol w:w="1267"/>
        <w:gridCol w:w="1267"/>
      </w:tblGrid>
      <w:tr w:rsidR="007D5748" w:rsidRPr="007D5748" w:rsidTr="00E723C5">
        <w:trPr>
          <w:cantSplit/>
          <w:trHeight w:val="194"/>
          <w:jc w:val="center"/>
        </w:trPr>
        <w:tc>
          <w:tcPr>
            <w:tcW w:w="4661" w:type="dxa"/>
            <w:vMerge w:val="restart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bookmarkStart w:id="0" w:name="OLE_LINK1"/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Vplyvy na rozpočet verejnej správy</w:t>
            </w:r>
          </w:p>
        </w:tc>
        <w:tc>
          <w:tcPr>
            <w:tcW w:w="5068" w:type="dxa"/>
            <w:gridSpan w:val="4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 (v eurách)</w:t>
            </w:r>
          </w:p>
        </w:tc>
      </w:tr>
      <w:tr w:rsidR="007D5748" w:rsidRPr="007D5748" w:rsidTr="00E723C5">
        <w:trPr>
          <w:cantSplit/>
          <w:trHeight w:val="70"/>
          <w:jc w:val="center"/>
        </w:trPr>
        <w:tc>
          <w:tcPr>
            <w:tcW w:w="4661" w:type="dxa"/>
            <w:vMerge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shd w:val="clear" w:color="auto" w:fill="BFBFBF" w:themeFill="background1" w:themeFillShade="BF"/>
            <w:vAlign w:val="center"/>
          </w:tcPr>
          <w:p w:rsidR="007D5748" w:rsidRPr="007D5748" w:rsidRDefault="007774A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2022</w:t>
            </w:r>
          </w:p>
        </w:tc>
        <w:tc>
          <w:tcPr>
            <w:tcW w:w="1267" w:type="dxa"/>
            <w:shd w:val="clear" w:color="auto" w:fill="BFBFBF" w:themeFill="background1" w:themeFillShade="BF"/>
            <w:vAlign w:val="center"/>
          </w:tcPr>
          <w:p w:rsidR="007D5748" w:rsidRPr="007D5748" w:rsidRDefault="007774A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2023</w:t>
            </w:r>
          </w:p>
        </w:tc>
        <w:tc>
          <w:tcPr>
            <w:tcW w:w="1267" w:type="dxa"/>
            <w:shd w:val="clear" w:color="auto" w:fill="BFBFBF" w:themeFill="background1" w:themeFillShade="BF"/>
            <w:vAlign w:val="center"/>
          </w:tcPr>
          <w:p w:rsidR="007D5748" w:rsidRPr="007D5748" w:rsidRDefault="007774A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2024</w:t>
            </w:r>
          </w:p>
        </w:tc>
        <w:tc>
          <w:tcPr>
            <w:tcW w:w="1267" w:type="dxa"/>
            <w:shd w:val="clear" w:color="auto" w:fill="BFBFBF" w:themeFill="background1" w:themeFillShade="BF"/>
            <w:vAlign w:val="center"/>
          </w:tcPr>
          <w:p w:rsidR="007D5748" w:rsidRPr="007D5748" w:rsidRDefault="007774A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2025</w:t>
            </w:r>
          </w:p>
        </w:tc>
      </w:tr>
      <w:tr w:rsidR="007D5748" w:rsidRPr="007D5748" w:rsidTr="00E723C5">
        <w:trPr>
          <w:trHeight w:val="70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verejnej správy celkom</w:t>
            </w:r>
          </w:p>
        </w:tc>
        <w:tc>
          <w:tcPr>
            <w:tcW w:w="1267" w:type="dxa"/>
            <w:shd w:val="clear" w:color="auto" w:fill="C0C0C0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vAlign w:val="center"/>
          </w:tcPr>
          <w:p w:rsidR="007D5748" w:rsidRPr="007D5748" w:rsidRDefault="00527ECB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4 057 000</w:t>
            </w:r>
          </w:p>
        </w:tc>
        <w:tc>
          <w:tcPr>
            <w:tcW w:w="1267" w:type="dxa"/>
            <w:shd w:val="clear" w:color="auto" w:fill="C0C0C0"/>
            <w:vAlign w:val="center"/>
          </w:tcPr>
          <w:p w:rsidR="007D5748" w:rsidRPr="007D5748" w:rsidRDefault="00527ECB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6 088 000</w:t>
            </w:r>
          </w:p>
        </w:tc>
      </w:tr>
      <w:tr w:rsidR="007D5748" w:rsidRPr="007D5748" w:rsidTr="00E723C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z toho:  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</w:tr>
      <w:tr w:rsidR="007D5748" w:rsidRPr="007D5748" w:rsidTr="00E723C5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527ECB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4 057 000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527ECB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6 088 000</w:t>
            </w:r>
          </w:p>
        </w:tc>
      </w:tr>
      <w:tr w:rsidR="00C51FD4" w:rsidRPr="007D5748" w:rsidTr="00E723C5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C51FD4" w:rsidRPr="007D5748" w:rsidRDefault="00C51FD4" w:rsidP="0021289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Rozpočtové prostriedky</w:t>
            </w:r>
          </w:p>
        </w:tc>
        <w:tc>
          <w:tcPr>
            <w:tcW w:w="1267" w:type="dxa"/>
            <w:noWrap/>
            <w:vAlign w:val="center"/>
          </w:tcPr>
          <w:p w:rsidR="00C51FD4" w:rsidRPr="007D5748" w:rsidRDefault="00212894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C51FD4" w:rsidRPr="007D5748" w:rsidRDefault="00212894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C51FD4" w:rsidRPr="007D5748" w:rsidRDefault="00527ECB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4 057 000</w:t>
            </w:r>
          </w:p>
        </w:tc>
        <w:tc>
          <w:tcPr>
            <w:tcW w:w="1267" w:type="dxa"/>
            <w:noWrap/>
            <w:vAlign w:val="center"/>
          </w:tcPr>
          <w:p w:rsidR="00C51FD4" w:rsidRPr="007D5748" w:rsidRDefault="00527ECB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6 088 000</w:t>
            </w:r>
          </w:p>
        </w:tc>
      </w:tr>
      <w:tr w:rsidR="007D5748" w:rsidRPr="007D5748" w:rsidTr="00E723C5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21289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EÚ zdroje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E723C5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E723C5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E723C5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E723C5">
        <w:trPr>
          <w:trHeight w:val="125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Výdavky verejnej správy celkom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:rsidR="007D5748" w:rsidRPr="007D5748" w:rsidRDefault="00527ECB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126 084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0   </w:t>
            </w:r>
          </w:p>
        </w:tc>
      </w:tr>
      <w:tr w:rsidR="007D5748" w:rsidRPr="007D5748" w:rsidTr="00E723C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527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v tom: </w:t>
            </w:r>
            <w:r w:rsidR="00527EC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kapitola MF SR/0EK 0D IT financované zo ŠR – MF SR (</w:t>
            </w:r>
            <w:proofErr w:type="spellStart"/>
            <w:r w:rsidR="00527EC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org</w:t>
            </w:r>
            <w:proofErr w:type="spellEnd"/>
            <w:r w:rsidR="00527EC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 FR SR)</w:t>
            </w:r>
          </w:p>
        </w:tc>
        <w:tc>
          <w:tcPr>
            <w:tcW w:w="1267" w:type="dxa"/>
            <w:noWrap/>
            <w:vAlign w:val="center"/>
          </w:tcPr>
          <w:p w:rsidR="007D5748" w:rsidRPr="00527ECB" w:rsidRDefault="00527ECB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527E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126 084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E723C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z toho: 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</w:tr>
      <w:tr w:rsidR="007D5748" w:rsidRPr="007D5748" w:rsidTr="00E723C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527ECB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126 084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51FD4" w:rsidRPr="007D5748" w:rsidTr="00E723C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C51FD4" w:rsidRPr="007D5748" w:rsidRDefault="00C51FD4" w:rsidP="0021289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Rozpočtové prostriedky</w:t>
            </w:r>
          </w:p>
        </w:tc>
        <w:tc>
          <w:tcPr>
            <w:tcW w:w="1267" w:type="dxa"/>
            <w:noWrap/>
            <w:vAlign w:val="center"/>
          </w:tcPr>
          <w:p w:rsidR="00C51FD4" w:rsidRPr="007D5748" w:rsidRDefault="00527ECB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126 084</w:t>
            </w:r>
          </w:p>
        </w:tc>
        <w:tc>
          <w:tcPr>
            <w:tcW w:w="1267" w:type="dxa"/>
            <w:noWrap/>
            <w:vAlign w:val="center"/>
          </w:tcPr>
          <w:p w:rsidR="00C51FD4" w:rsidRPr="007D5748" w:rsidRDefault="00212894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C51FD4" w:rsidRPr="007D5748" w:rsidRDefault="00212894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C51FD4" w:rsidRPr="007D5748" w:rsidRDefault="00212894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E723C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   EÚ zdroje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E723C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   spolufinancovanie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E723C5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E723C5" w:rsidRPr="007D5748" w:rsidTr="00E723C5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E723C5" w:rsidRPr="003F7A04" w:rsidRDefault="00E723C5" w:rsidP="00E723C5">
            <w:pPr>
              <w:spacing w:after="0" w:line="240" w:lineRule="auto"/>
              <w:ind w:left="255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z toho vplyv nových úloh v zmysle ods. 2 Čl. 6 ústavného zákona č. 493/2011 Z. z. o rozpočtovej zodpovednosti</w:t>
            </w:r>
          </w:p>
        </w:tc>
        <w:tc>
          <w:tcPr>
            <w:tcW w:w="1267" w:type="dxa"/>
            <w:noWrap/>
            <w:vAlign w:val="center"/>
          </w:tcPr>
          <w:p w:rsidR="00E723C5" w:rsidRPr="003F7A04" w:rsidRDefault="00E723C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3F7A0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E723C5" w:rsidRPr="003F7A04" w:rsidRDefault="00E723C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3F7A0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E723C5" w:rsidRPr="003F7A04" w:rsidRDefault="00E723C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3F7A0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E723C5" w:rsidRPr="003F7A04" w:rsidRDefault="00E723C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3F7A0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E723C5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E723C5" w:rsidRPr="007D5748" w:rsidTr="00E723C5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E723C5" w:rsidRPr="007D5748" w:rsidRDefault="00E723C5" w:rsidP="00E723C5">
            <w:pPr>
              <w:spacing w:after="0" w:line="240" w:lineRule="auto"/>
              <w:ind w:left="25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z toho vplyv nových úloh v zmysle ods. 2 Čl. 6 ústavného zákona č. 493/2011 Z. z. o rozpočtovej zodpovednosti</w:t>
            </w:r>
          </w:p>
        </w:tc>
        <w:tc>
          <w:tcPr>
            <w:tcW w:w="1267" w:type="dxa"/>
            <w:noWrap/>
            <w:vAlign w:val="center"/>
          </w:tcPr>
          <w:p w:rsidR="00E723C5" w:rsidRPr="007D5748" w:rsidRDefault="00E723C5" w:rsidP="00E72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E28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E723C5" w:rsidRPr="007D5748" w:rsidRDefault="00E723C5" w:rsidP="00E72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E28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E723C5" w:rsidRPr="007D5748" w:rsidRDefault="00E723C5" w:rsidP="00E72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E28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E723C5" w:rsidRPr="007D5748" w:rsidRDefault="00E723C5" w:rsidP="00E72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E28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E723C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E723C5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Vplyv na počet zamestnancov 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E723C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E723C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E723C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E723C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E723C5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Vplyv na mzdové výdavky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E723C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E723C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E723C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E723C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E723C5">
        <w:trPr>
          <w:trHeight w:val="70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Financovanie zabezpečené v rozpočte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:rsidR="007D5748" w:rsidRPr="007D5748" w:rsidRDefault="00527ECB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126 084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E723C5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Iné ako rozpočtové zdroje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527ECB" w:rsidRPr="007D5748" w:rsidTr="00E723C5">
        <w:trPr>
          <w:trHeight w:val="70"/>
          <w:jc w:val="center"/>
        </w:trPr>
        <w:tc>
          <w:tcPr>
            <w:tcW w:w="4661" w:type="dxa"/>
            <w:shd w:val="clear" w:color="auto" w:fill="A6A6A6" w:themeFill="background1" w:themeFillShade="A6"/>
            <w:noWrap/>
            <w:vAlign w:val="center"/>
          </w:tcPr>
          <w:p w:rsidR="00527ECB" w:rsidRPr="007D5748" w:rsidRDefault="00527ECB" w:rsidP="00527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Rozpočtovo nekrytý vplyv / úspora</w:t>
            </w:r>
          </w:p>
        </w:tc>
        <w:tc>
          <w:tcPr>
            <w:tcW w:w="1267" w:type="dxa"/>
            <w:shd w:val="clear" w:color="auto" w:fill="A6A6A6" w:themeFill="background1" w:themeFillShade="A6"/>
            <w:noWrap/>
            <w:vAlign w:val="center"/>
          </w:tcPr>
          <w:p w:rsidR="00527ECB" w:rsidRPr="007D5748" w:rsidRDefault="00527ECB" w:rsidP="00527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A6A6A6" w:themeFill="background1" w:themeFillShade="A6"/>
            <w:noWrap/>
            <w:vAlign w:val="center"/>
          </w:tcPr>
          <w:p w:rsidR="00527ECB" w:rsidRPr="007D5748" w:rsidRDefault="00527ECB" w:rsidP="00527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A6A6A6" w:themeFill="background1" w:themeFillShade="A6"/>
            <w:noWrap/>
            <w:vAlign w:val="center"/>
          </w:tcPr>
          <w:p w:rsidR="00527ECB" w:rsidRPr="007D5748" w:rsidRDefault="00527ECB" w:rsidP="00527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4 057 000</w:t>
            </w:r>
          </w:p>
        </w:tc>
        <w:tc>
          <w:tcPr>
            <w:tcW w:w="1267" w:type="dxa"/>
            <w:shd w:val="clear" w:color="auto" w:fill="A6A6A6" w:themeFill="background1" w:themeFillShade="A6"/>
            <w:noWrap/>
            <w:vAlign w:val="center"/>
          </w:tcPr>
          <w:p w:rsidR="00527ECB" w:rsidRPr="007D5748" w:rsidRDefault="00527ECB" w:rsidP="00527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6 088 000</w:t>
            </w:r>
          </w:p>
        </w:tc>
      </w:tr>
      <w:bookmarkEnd w:id="0"/>
    </w:tbl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D5748" w:rsidRPr="007D5748" w:rsidRDefault="007D5748" w:rsidP="003F7A04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lastRenderedPageBreak/>
        <w:t>2.1.1. Financovanie návrhu - Návrh na riešenie úbytku príjmov alebo zvýšených výdavkov podľa § 33 ods. 1 zákona č. 523/2004 Z. z. o rozpočtových pravidlách verejnej správy:</w:t>
      </w:r>
    </w:p>
    <w:p w:rsidR="007D5748" w:rsidRP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2"/>
          <w:szCs w:val="24"/>
          <w:lang w:eastAsia="sk-SK"/>
        </w:rPr>
      </w:pPr>
    </w:p>
    <w:p w:rsidR="007D5748" w:rsidRPr="003B4E3C" w:rsidRDefault="003B4E3C" w:rsidP="003B4E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Návrh zákona predpokladá v roku 2022 negatívny vplyv na rozpočet súvisiaci s úpravou informačných systémov finančnej správy vo výške </w:t>
      </w:r>
      <w:r w:rsidRPr="00C651DC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126 084 eur s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 </w:t>
      </w:r>
      <w:r w:rsidRPr="00C651DC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DPH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Na rok 2022 má kapitola MF SR zabezpečené finančné prostriedky v sume 126 084 eur na úpravu informačného systému [Integrovaný systém Finančnej správy – správa daní (ISFS-SD)]. </w:t>
      </w:r>
    </w:p>
    <w:p w:rsidR="003B4E3C" w:rsidRDefault="003B4E3C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 Popis a charakteristika návrhu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2.2.1. Popis návrhu:</w:t>
      </w:r>
    </w:p>
    <w:p w:rsidR="007D5748" w:rsidRP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3B4E3C" w:rsidRDefault="003B4E3C" w:rsidP="003B4E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EC24D3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K novele zákona o dani z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 </w:t>
      </w:r>
      <w:r w:rsidRPr="00EC24D3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príjmov</w:t>
      </w:r>
    </w:p>
    <w:p w:rsidR="003B4E3C" w:rsidRDefault="003B4E3C" w:rsidP="003B4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Zámerom návrhu zákona je</w:t>
      </w:r>
    </w:p>
    <w:p w:rsidR="003B4E3C" w:rsidRPr="005D0EE4" w:rsidRDefault="003B4E3C" w:rsidP="003B4E3C">
      <w:pPr>
        <w:pStyle w:val="Odsekzoznamu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D0EE4">
        <w:rPr>
          <w:rFonts w:ascii="Times New Roman" w:hAnsi="Times New Roman" w:cs="Times New Roman"/>
          <w:sz w:val="24"/>
          <w:szCs w:val="24"/>
        </w:rPr>
        <w:t>zavedenie pravidla o obmedzení úrokových nákladov zacieleného proti praktikám, ktoré na umelé znižovanie základu dane z príjmov využívajú nadmerné dlhové financovanie,</w:t>
      </w:r>
    </w:p>
    <w:p w:rsidR="003B4E3C" w:rsidRDefault="003B4E3C" w:rsidP="003B4E3C">
      <w:pPr>
        <w:pStyle w:val="Odsekzoznamu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zavedenie možnosti daňového odpisu pohľadávok pri tzv. preventívnej reštrukturalizácii a zahrnovania tvorby opravných položiek k pohľadávkam voči dlžníkovi v preventívnom reštrukturalizačnom konaní do daňových výdavkov v nadväznosti na zákon č. 111/2022 Z. z. o riešení hroziaceho úpadku a o zmene a doplnení niektorých zákonov.</w:t>
      </w:r>
    </w:p>
    <w:p w:rsidR="003B4E3C" w:rsidRPr="00EC24D3" w:rsidRDefault="003B4E3C" w:rsidP="003B4E3C">
      <w:pPr>
        <w:pStyle w:val="Odsekzoznamu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B4E3C" w:rsidRDefault="003B4E3C" w:rsidP="003B4E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742D60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K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 novele daňového poriadku</w:t>
      </w:r>
    </w:p>
    <w:p w:rsidR="003B4E3C" w:rsidRPr="009437FC" w:rsidRDefault="003B4E3C" w:rsidP="003B4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437FC">
        <w:rPr>
          <w:rFonts w:ascii="Times New Roman" w:eastAsia="Times New Roman" w:hAnsi="Times New Roman" w:cs="Times New Roman"/>
          <w:sz w:val="24"/>
          <w:szCs w:val="24"/>
          <w:lang w:eastAsia="sk-SK"/>
        </w:rPr>
        <w:t>Zámerom návrhu zákona je</w:t>
      </w:r>
    </w:p>
    <w:p w:rsidR="003B4E3C" w:rsidRPr="005D0EE4" w:rsidRDefault="003B4E3C" w:rsidP="003B4E3C">
      <w:pPr>
        <w:pStyle w:val="Odsekzoznamu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5D0EE4">
        <w:rPr>
          <w:rFonts w:ascii="Times New Roman" w:eastAsia="Times New Roman" w:hAnsi="Times New Roman" w:cs="Times New Roman"/>
          <w:sz w:val="24"/>
          <w:szCs w:val="24"/>
          <w:lang w:eastAsia="sk-SK"/>
        </w:rPr>
        <w:t>zavedenie systému tzv. „druhej šance“, podľa ktorého správca dane pokutu, ktorú je možné určiť v rámci intervalového rozpätia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pri prvom porušení</w:t>
      </w:r>
      <w:r w:rsidRPr="005D0EE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neuloží, ale vyzve na splnenie povinnosti s upozornením, že pri ďalšom porušení už bude uložená pokuta,</w:t>
      </w:r>
    </w:p>
    <w:p w:rsidR="003B4E3C" w:rsidRPr="009437FC" w:rsidRDefault="003B4E3C" w:rsidP="003B4E3C">
      <w:pPr>
        <w:pStyle w:val="Odsekzoznamu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skrátenie lehoty na vyrubenie úroku z omeškania pri úplnej úhrade nedoplatku.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2.2.2. Charakteristika návrhu: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sz w:val="24"/>
          <w:szCs w:val="24"/>
          <w:bdr w:val="single" w:sz="4" w:space="0" w:color="auto"/>
          <w:lang w:eastAsia="sk-SK"/>
        </w:rPr>
        <w:t xml:space="preserve">     </w:t>
      </w:r>
      <w:r w:rsidRPr="007D5748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 </w:t>
      </w: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>zmena sadzby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zmena v nároku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nová služba alebo nariadenie (alebo ich zrušenie)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kombinovaný návrh</w:t>
      </w:r>
    </w:p>
    <w:p w:rsidR="007D5748" w:rsidRPr="007D5748" w:rsidRDefault="003B4E3C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X</w:t>
      </w:r>
      <w:r w:rsidR="007D5748" w:rsidRPr="007D574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</w:t>
      </w:r>
      <w:r w:rsidR="007D5748"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iné 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2.2.3. Predpoklady vývoja objemu aktivít: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3B4E3C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-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2.2.4. Výpočty vplyvov na verejné financie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3B4E3C" w:rsidRPr="00424C91" w:rsidRDefault="003B4E3C" w:rsidP="003B4E3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sk-SK"/>
        </w:rPr>
      </w:pPr>
      <w:r w:rsidRPr="00424C91">
        <w:rPr>
          <w:rFonts w:ascii="Times New Roman" w:hAnsi="Times New Roman"/>
          <w:bCs/>
          <w:sz w:val="24"/>
          <w:szCs w:val="24"/>
          <w:lang w:eastAsia="sk-SK"/>
        </w:rPr>
        <w:t xml:space="preserve">Kvantifikácia predpokladá </w:t>
      </w:r>
      <w:r>
        <w:rPr>
          <w:rFonts w:ascii="Times New Roman" w:hAnsi="Times New Roman"/>
          <w:bCs/>
          <w:sz w:val="24"/>
          <w:szCs w:val="24"/>
          <w:lang w:eastAsia="sk-SK"/>
        </w:rPr>
        <w:t xml:space="preserve">negatívny akruálny vplyv na rozpočet verejnej správy v roku 2022 na úrovni 126 084 eur a pozitívny akruálny vplyv na rozpočet verejnej správy na úrovni 4 057 000 eur v roku 2024 a </w:t>
      </w:r>
      <w:r w:rsidRPr="00AC6744">
        <w:rPr>
          <w:rFonts w:ascii="Times New Roman" w:hAnsi="Times New Roman"/>
          <w:bCs/>
          <w:sz w:val="24"/>
          <w:szCs w:val="24"/>
          <w:lang w:eastAsia="sk-SK"/>
        </w:rPr>
        <w:t>6 088</w:t>
      </w:r>
      <w:r>
        <w:rPr>
          <w:rFonts w:ascii="Times New Roman" w:hAnsi="Times New Roman"/>
          <w:bCs/>
          <w:sz w:val="24"/>
          <w:szCs w:val="24"/>
          <w:lang w:eastAsia="sk-SK"/>
        </w:rPr>
        <w:t> </w:t>
      </w:r>
      <w:r w:rsidRPr="00AC6744">
        <w:rPr>
          <w:rFonts w:ascii="Times New Roman" w:hAnsi="Times New Roman"/>
          <w:bCs/>
          <w:sz w:val="24"/>
          <w:szCs w:val="24"/>
          <w:lang w:eastAsia="sk-SK"/>
        </w:rPr>
        <w:t>000</w:t>
      </w:r>
      <w:r>
        <w:rPr>
          <w:rFonts w:ascii="Times New Roman" w:hAnsi="Times New Roman"/>
          <w:bCs/>
          <w:sz w:val="24"/>
          <w:szCs w:val="24"/>
          <w:lang w:eastAsia="sk-SK"/>
        </w:rPr>
        <w:t xml:space="preserve"> eur v roku 2025. </w:t>
      </w:r>
    </w:p>
    <w:p w:rsidR="003B4E3C" w:rsidRPr="00591FC4" w:rsidRDefault="003B4E3C" w:rsidP="003B4E3C">
      <w:pPr>
        <w:spacing w:after="0" w:line="240" w:lineRule="auto"/>
        <w:rPr>
          <w:rFonts w:ascii="Times New Roman" w:hAnsi="Times New Roman"/>
          <w:sz w:val="24"/>
          <w:szCs w:val="24"/>
          <w:lang w:eastAsia="sk-SK"/>
        </w:rPr>
      </w:pPr>
    </w:p>
    <w:p w:rsidR="003B4E3C" w:rsidRPr="00AC6744" w:rsidRDefault="003B4E3C" w:rsidP="003B4E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AC6744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Kvantifikácia príjmov</w:t>
      </w:r>
    </w:p>
    <w:p w:rsidR="003B4E3C" w:rsidRDefault="003B4E3C" w:rsidP="003B4E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3B4E3C" w:rsidRDefault="003B4E3C" w:rsidP="003B4E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>K zákonu o dani z príjmov</w:t>
      </w:r>
    </w:p>
    <w:p w:rsidR="003B4E3C" w:rsidRPr="007B3F4D" w:rsidRDefault="003B4E3C" w:rsidP="003B4E3C">
      <w:pPr>
        <w:pStyle w:val="Odsekzoznamu"/>
        <w:numPr>
          <w:ilvl w:val="0"/>
          <w:numId w:val="5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7B3F4D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zavedenie pravidla o obmedzení úrokových nákladov</w:t>
      </w:r>
    </w:p>
    <w:p w:rsidR="003B4E3C" w:rsidRPr="005D0EE4" w:rsidRDefault="003B4E3C" w:rsidP="003B4E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5D0EE4">
        <w:rPr>
          <w:rFonts w:ascii="Times New Roman" w:hAnsi="Times New Roman" w:cs="Times New Roman"/>
          <w:sz w:val="24"/>
          <w:szCs w:val="24"/>
        </w:rPr>
        <w:t>Opatrenie sa dotkne približne 20 subjektov ročne (</w:t>
      </w:r>
      <w:r w:rsidRPr="005D0EE4">
        <w:rPr>
          <w:rFonts w:ascii="Times New Roman" w:hAnsi="Times New Roman" w:cs="Times New Roman"/>
          <w:sz w:val="24"/>
          <w:szCs w:val="24"/>
          <w:lang w:eastAsia="sk-SK"/>
        </w:rPr>
        <w:t>0,008% z počtu firiem, ktoré spadajú pod DPPO) s priemerným vplyvom na subjekt 237 tis. eur.</w:t>
      </w:r>
      <w:r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="00D14CAB">
        <w:rPr>
          <w:rFonts w:ascii="Times New Roman" w:hAnsi="Times New Roman" w:cs="Times New Roman"/>
          <w:sz w:val="24"/>
          <w:szCs w:val="24"/>
          <w:lang w:eastAsia="sk-SK"/>
        </w:rPr>
        <w:t xml:space="preserve">Akruálny profil fiškálneho vplyvu návrhu  vychádza z historických prepočtov. </w:t>
      </w:r>
      <w:r w:rsidR="00D14CAB">
        <w:rPr>
          <w:rFonts w:ascii="Times New Roman" w:hAnsi="Times New Roman" w:cs="Times New Roman"/>
          <w:sz w:val="24"/>
          <w:szCs w:val="24"/>
        </w:rPr>
        <w:t xml:space="preserve">Predpokladá sa mierny nárast daňových príjmov, ktorý je spojený s novými úvermi – keďže ide o statický prepočet, nepočíta sa s dynamickými efektmi v podobe zmeny správania sa subjektov. </w:t>
      </w:r>
      <w:r w:rsidRPr="005D0EE4">
        <w:rPr>
          <w:rFonts w:ascii="Times New Roman" w:hAnsi="Times New Roman" w:cs="Times New Roman"/>
          <w:sz w:val="24"/>
          <w:szCs w:val="24"/>
        </w:rPr>
        <w:t>Na výpočet fiškálneho vplyvu boli použité údaje z účtovných závierok, ktoré obsahujú údaje potrebné na výpočet čistých úrokových nákladov a údaje z daňových priznaní.</w:t>
      </w:r>
      <w:r w:rsidR="00D14C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4E3C" w:rsidRPr="00AC6744" w:rsidRDefault="003B4E3C" w:rsidP="003B4E3C">
      <w:pPr>
        <w:pStyle w:val="Odsekzoznamu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3B4E3C" w:rsidRDefault="003B4E3C" w:rsidP="003B4E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52478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Opatrenia B až D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 dôvodu neexistencie vhodných dát nie je možné kvantifikovať.</w:t>
      </w:r>
    </w:p>
    <w:p w:rsidR="007D5748" w:rsidRP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sectPr w:rsidR="007D5748" w:rsidRPr="007D5748" w:rsidSect="00E723C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276" w:left="1417" w:header="708" w:footer="708" w:gutter="0"/>
          <w:pgNumType w:start="1"/>
          <w:cols w:space="708"/>
          <w:docGrid w:linePitch="360"/>
        </w:sect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lastRenderedPageBreak/>
        <w:t xml:space="preserve">Tabuľka č. 3 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tbl>
      <w:tblPr>
        <w:tblpPr w:leftFromText="141" w:rightFromText="141" w:horzAnchor="margin" w:tblpXSpec="center" w:tblpY="533"/>
        <w:tblW w:w="139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0"/>
        <w:gridCol w:w="1500"/>
        <w:gridCol w:w="1500"/>
        <w:gridCol w:w="1500"/>
        <w:gridCol w:w="1500"/>
        <w:gridCol w:w="3000"/>
      </w:tblGrid>
      <w:tr w:rsidR="003B4E3C" w:rsidRPr="007D5748" w:rsidTr="00012A5B">
        <w:trPr>
          <w:cantSplit/>
          <w:trHeight w:val="255"/>
        </w:trPr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B4E3C" w:rsidRPr="007D5748" w:rsidRDefault="003B4E3C" w:rsidP="00012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(v eurách)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akruál</w:t>
            </w:r>
            <w:proofErr w:type="spellEnd"/>
          </w:p>
        </w:tc>
        <w:tc>
          <w:tcPr>
            <w:tcW w:w="6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B4E3C" w:rsidRPr="007D5748" w:rsidRDefault="003B4E3C" w:rsidP="00012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3B4E3C" w:rsidRPr="007D5748" w:rsidRDefault="003B4E3C" w:rsidP="00012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3B4E3C" w:rsidRPr="007D5748" w:rsidTr="00012A5B">
        <w:trPr>
          <w:cantSplit/>
          <w:trHeight w:val="255"/>
        </w:trPr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Pr="007D5748" w:rsidRDefault="003B4E3C" w:rsidP="00012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B4E3C" w:rsidRPr="00685EE7" w:rsidRDefault="003B4E3C" w:rsidP="00012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685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B4E3C" w:rsidRPr="00685EE7" w:rsidRDefault="003B4E3C" w:rsidP="00012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685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B4E3C" w:rsidRPr="00685EE7" w:rsidRDefault="003B4E3C" w:rsidP="00012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685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B4E3C" w:rsidRPr="00685EE7" w:rsidRDefault="003B4E3C" w:rsidP="00012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685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2025</w:t>
            </w: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Pr="007D5748" w:rsidRDefault="003B4E3C" w:rsidP="00012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3B4E3C" w:rsidRPr="007D5748" w:rsidTr="00012A5B">
        <w:trPr>
          <w:trHeight w:val="255"/>
        </w:trPr>
        <w:tc>
          <w:tcPr>
            <w:tcW w:w="4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E3C" w:rsidRDefault="003B4E3C" w:rsidP="00012A5B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Daňové príjmy (100)</w:t>
            </w:r>
            <w:r>
              <w:rPr>
                <w:b/>
                <w:bCs/>
                <w:color w:val="000000"/>
                <w:vertAlign w:val="superscript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E3C" w:rsidRDefault="003B4E3C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E3C" w:rsidRDefault="003B4E3C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E3C" w:rsidRDefault="003B4E3C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4 057 000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E3C" w:rsidRDefault="003B4E3C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6 088 000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E3C" w:rsidRPr="007D5748" w:rsidRDefault="003B4E3C" w:rsidP="00012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B4E3C" w:rsidRPr="007D5748" w:rsidTr="00012A5B">
        <w:trPr>
          <w:trHeight w:val="255"/>
        </w:trPr>
        <w:tc>
          <w:tcPr>
            <w:tcW w:w="4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E3C" w:rsidRDefault="003B4E3C" w:rsidP="00012A5B">
            <w:pPr>
              <w:spacing w:after="0"/>
              <w:rPr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DPPO (112)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E3C" w:rsidRDefault="003B4E3C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E3C" w:rsidRDefault="003B4E3C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E3C" w:rsidRDefault="003B4E3C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4 057 000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E3C" w:rsidRDefault="003B4E3C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6 088 000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E3C" w:rsidRPr="007D5748" w:rsidRDefault="003B4E3C" w:rsidP="00012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B4E3C" w:rsidRPr="007D5748" w:rsidTr="00012A5B">
        <w:trPr>
          <w:trHeight w:val="255"/>
        </w:trPr>
        <w:tc>
          <w:tcPr>
            <w:tcW w:w="4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E3C" w:rsidRDefault="003B4E3C" w:rsidP="00012A5B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Nedaňové príjmy (200)</w:t>
            </w:r>
            <w:r>
              <w:rPr>
                <w:b/>
                <w:bCs/>
                <w:color w:val="000000"/>
                <w:vertAlign w:val="superscript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E3C" w:rsidRDefault="003B4E3C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E3C" w:rsidRDefault="003B4E3C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E3C" w:rsidRDefault="003B4E3C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E3C" w:rsidRDefault="003B4E3C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E3C" w:rsidRPr="007D5748" w:rsidRDefault="003B4E3C" w:rsidP="00012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B4E3C" w:rsidRPr="007D5748" w:rsidTr="00012A5B">
        <w:trPr>
          <w:trHeight w:val="255"/>
        </w:trPr>
        <w:tc>
          <w:tcPr>
            <w:tcW w:w="4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E3C" w:rsidRDefault="003B4E3C" w:rsidP="00012A5B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Príjmy z transakcií s finančnými aktívami a finančnými pasívami (400)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</w:tcPr>
          <w:p w:rsidR="003B4E3C" w:rsidRDefault="003B4E3C" w:rsidP="00012A5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</w:tcPr>
          <w:p w:rsidR="003B4E3C" w:rsidRDefault="003B4E3C" w:rsidP="00012A5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</w:tcPr>
          <w:p w:rsidR="003B4E3C" w:rsidRDefault="003B4E3C" w:rsidP="00012A5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</w:tcPr>
          <w:p w:rsidR="003B4E3C" w:rsidRDefault="003B4E3C" w:rsidP="00012A5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E3C" w:rsidRPr="007D5748" w:rsidRDefault="003B4E3C" w:rsidP="00012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B4E3C" w:rsidRPr="007D5748" w:rsidTr="00012A5B">
        <w:trPr>
          <w:trHeight w:val="255"/>
        </w:trPr>
        <w:tc>
          <w:tcPr>
            <w:tcW w:w="4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E3C" w:rsidRDefault="003B4E3C" w:rsidP="00012A5B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Prijaté úvery, pôžičky a návratné finančné výpomoci (500)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</w:tcPr>
          <w:p w:rsidR="003B4E3C" w:rsidRDefault="003B4E3C" w:rsidP="00012A5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</w:tcPr>
          <w:p w:rsidR="003B4E3C" w:rsidRDefault="003B4E3C" w:rsidP="00012A5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</w:tcPr>
          <w:p w:rsidR="003B4E3C" w:rsidRDefault="003B4E3C" w:rsidP="00012A5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</w:tcPr>
          <w:p w:rsidR="003B4E3C" w:rsidRDefault="003B4E3C" w:rsidP="00012A5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E3C" w:rsidRPr="007D5748" w:rsidRDefault="003B4E3C" w:rsidP="00012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B4E3C" w:rsidRPr="007D5748" w:rsidTr="00012A5B">
        <w:trPr>
          <w:trHeight w:val="255"/>
        </w:trPr>
        <w:tc>
          <w:tcPr>
            <w:tcW w:w="4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3B4E3C" w:rsidRDefault="003B4E3C" w:rsidP="00012A5B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Dopad na príjmy verejnej správy celkom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3B4E3C" w:rsidRDefault="003B4E3C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3B4E3C" w:rsidRDefault="003B4E3C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3B4E3C" w:rsidRDefault="003B4E3C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4 057 000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3B4E3C" w:rsidRDefault="003B4E3C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6 088 000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E3C" w:rsidRPr="007D5748" w:rsidRDefault="003B4E3C" w:rsidP="00012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B4E3C" w:rsidRPr="007D5748" w:rsidTr="00012A5B">
        <w:trPr>
          <w:trHeight w:val="255"/>
        </w:trPr>
        <w:tc>
          <w:tcPr>
            <w:tcW w:w="495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B4E3C" w:rsidRDefault="003B4E3C" w:rsidP="00012A5B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B4E3C" w:rsidRDefault="003B4E3C" w:rsidP="00012A5B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B4E3C" w:rsidRDefault="003B4E3C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B4E3C" w:rsidRDefault="003B4E3C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B4E3C" w:rsidRDefault="003B4E3C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</w:tcBorders>
            <w:noWrap/>
            <w:vAlign w:val="bottom"/>
          </w:tcPr>
          <w:p w:rsidR="003B4E3C" w:rsidRPr="007D5748" w:rsidRDefault="003B4E3C" w:rsidP="00012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B4E3C" w:rsidRPr="007D5748" w:rsidTr="00012A5B">
        <w:trPr>
          <w:trHeight w:val="255"/>
        </w:trPr>
        <w:tc>
          <w:tcPr>
            <w:tcW w:w="495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4E3C" w:rsidRDefault="003B4E3C" w:rsidP="00012A5B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4E3C" w:rsidRDefault="003B4E3C" w:rsidP="00012A5B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4E3C" w:rsidRDefault="003B4E3C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4E3C" w:rsidRDefault="003B4E3C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4E3C" w:rsidRDefault="003B4E3C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3000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:rsidR="003B4E3C" w:rsidRPr="007D5748" w:rsidRDefault="003B4E3C" w:rsidP="00012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B4E3C" w:rsidRPr="007D5748" w:rsidTr="00012A5B">
        <w:trPr>
          <w:cantSplit/>
          <w:trHeight w:val="255"/>
        </w:trPr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B4E3C" w:rsidRPr="007D5748" w:rsidRDefault="003B4E3C" w:rsidP="00012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(v eurách)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- cash</w:t>
            </w:r>
          </w:p>
        </w:tc>
        <w:tc>
          <w:tcPr>
            <w:tcW w:w="6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B4E3C" w:rsidRPr="007D5748" w:rsidRDefault="003B4E3C" w:rsidP="00012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3B4E3C" w:rsidRPr="007D5748" w:rsidRDefault="003B4E3C" w:rsidP="00012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3B4E3C" w:rsidRPr="007D5748" w:rsidTr="00012A5B">
        <w:trPr>
          <w:cantSplit/>
          <w:trHeight w:val="255"/>
        </w:trPr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Pr="007D5748" w:rsidRDefault="003B4E3C" w:rsidP="00012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B4E3C" w:rsidRPr="00685EE7" w:rsidRDefault="003B4E3C" w:rsidP="00012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685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B4E3C" w:rsidRPr="00685EE7" w:rsidRDefault="003B4E3C" w:rsidP="00012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685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B4E3C" w:rsidRPr="00685EE7" w:rsidRDefault="003B4E3C" w:rsidP="00012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685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B4E3C" w:rsidRPr="00685EE7" w:rsidRDefault="003B4E3C" w:rsidP="00012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685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2025</w:t>
            </w: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Pr="007D5748" w:rsidRDefault="003B4E3C" w:rsidP="00012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D14CAB" w:rsidRPr="007D5748" w:rsidTr="00D14CAB">
        <w:trPr>
          <w:trHeight w:val="255"/>
        </w:trPr>
        <w:tc>
          <w:tcPr>
            <w:tcW w:w="4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CAB" w:rsidRDefault="00D14CAB" w:rsidP="00012A5B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Daňové príjmy (100)</w:t>
            </w:r>
            <w:r>
              <w:rPr>
                <w:b/>
                <w:bCs/>
                <w:color w:val="000000"/>
                <w:vertAlign w:val="superscript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CAB" w:rsidRDefault="00D14CAB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CAB" w:rsidRDefault="00D14CAB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CAB" w:rsidRDefault="00D14CAB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CAB" w:rsidRDefault="00D14CAB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6 085 500</w:t>
            </w:r>
          </w:p>
        </w:tc>
        <w:tc>
          <w:tcPr>
            <w:tcW w:w="300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:rsidR="00D14CAB" w:rsidRPr="00664314" w:rsidRDefault="00D14CAB" w:rsidP="0066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  <w:r w:rsidRPr="00664314">
              <w:rPr>
                <w:rFonts w:ascii="Times New Roman" w:eastAsia="Times New Roman" w:hAnsi="Times New Roman" w:cs="Times New Roman"/>
                <w:lang w:eastAsia="sk-SK"/>
              </w:rPr>
              <w:t>Neočakáva sa nárast cash príjmov v roku 2024 a to z dôvodu, že ide o daň z príjmov právnických osôb, kde sa hotovostne vplyv prvýkrát prejaví až v roku 202</w:t>
            </w:r>
            <w:r w:rsidR="00664314">
              <w:rPr>
                <w:rFonts w:ascii="Times New Roman" w:eastAsia="Times New Roman" w:hAnsi="Times New Roman" w:cs="Times New Roman"/>
                <w:lang w:eastAsia="sk-SK"/>
              </w:rPr>
              <w:t>5</w:t>
            </w:r>
            <w:r w:rsidR="00664314" w:rsidRPr="00664314">
              <w:rPr>
                <w:rFonts w:ascii="Times New Roman" w:eastAsia="Times New Roman" w:hAnsi="Times New Roman" w:cs="Times New Roman"/>
                <w:lang w:eastAsia="sk-SK"/>
              </w:rPr>
              <w:t>, kde bude podané daňové priznanie za rok 202</w:t>
            </w:r>
            <w:r w:rsidR="00664314">
              <w:rPr>
                <w:rFonts w:ascii="Times New Roman" w:eastAsia="Times New Roman" w:hAnsi="Times New Roman" w:cs="Times New Roman"/>
                <w:lang w:eastAsia="sk-SK"/>
              </w:rPr>
              <w:t>4</w:t>
            </w:r>
            <w:r w:rsidR="00664314" w:rsidRPr="00664314">
              <w:rPr>
                <w:rFonts w:ascii="Times New Roman" w:eastAsia="Times New Roman" w:hAnsi="Times New Roman" w:cs="Times New Roman"/>
                <w:lang w:eastAsia="sk-SK"/>
              </w:rPr>
              <w:t xml:space="preserve"> a subjekt zaplatí vyrovnanie dane. Následne sa mu upraví preddavková povinnosť, ktorá už bude obsahovať aj uvedenú legislatívnu zmenu.</w:t>
            </w:r>
          </w:p>
        </w:tc>
      </w:tr>
      <w:tr w:rsidR="00D14CAB" w:rsidRPr="007D5748" w:rsidTr="00C42510">
        <w:trPr>
          <w:trHeight w:val="255"/>
        </w:trPr>
        <w:tc>
          <w:tcPr>
            <w:tcW w:w="4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CAB" w:rsidRDefault="00D14CAB" w:rsidP="00012A5B">
            <w:pPr>
              <w:spacing w:after="0"/>
              <w:rPr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DPPO (112)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CAB" w:rsidRDefault="00D14CAB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CAB" w:rsidRDefault="00D14CAB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CAB" w:rsidRDefault="00D14CAB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CAB" w:rsidRDefault="00D14CAB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6 085 500</w:t>
            </w:r>
          </w:p>
        </w:tc>
        <w:tc>
          <w:tcPr>
            <w:tcW w:w="3000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D14CAB" w:rsidRPr="007D5748" w:rsidRDefault="00D14CAB" w:rsidP="00C42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D14CAB" w:rsidRPr="007D5748" w:rsidTr="00C42510">
        <w:trPr>
          <w:trHeight w:val="255"/>
        </w:trPr>
        <w:tc>
          <w:tcPr>
            <w:tcW w:w="4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CAB" w:rsidRDefault="00D14CAB" w:rsidP="00012A5B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Nedaňové príjmy (200)</w:t>
            </w:r>
            <w:r>
              <w:rPr>
                <w:b/>
                <w:bCs/>
                <w:color w:val="000000"/>
                <w:vertAlign w:val="superscript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CAB" w:rsidRDefault="00D14CAB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CAB" w:rsidRDefault="00D14CAB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CAB" w:rsidRDefault="00D14CAB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CAB" w:rsidRDefault="00D14CAB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3000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D14CAB" w:rsidRPr="007D5748" w:rsidRDefault="00D14CAB" w:rsidP="00C42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D14CAB" w:rsidRPr="007D5748" w:rsidTr="00C42510">
        <w:trPr>
          <w:trHeight w:val="255"/>
        </w:trPr>
        <w:tc>
          <w:tcPr>
            <w:tcW w:w="4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CAB" w:rsidRDefault="00D14CAB" w:rsidP="00012A5B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Príjmy z transakcií s finančnými aktívami a finančnými pasívami (400)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</w:tcPr>
          <w:p w:rsidR="00D14CAB" w:rsidRDefault="00D14CAB" w:rsidP="00012A5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</w:tcPr>
          <w:p w:rsidR="00D14CAB" w:rsidRDefault="00D14CAB" w:rsidP="00012A5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</w:tcPr>
          <w:p w:rsidR="00D14CAB" w:rsidRDefault="00D14CAB" w:rsidP="00012A5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</w:tcPr>
          <w:p w:rsidR="00D14CAB" w:rsidRDefault="00D14CAB" w:rsidP="00012A5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000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D14CAB" w:rsidRPr="007D5748" w:rsidRDefault="00D14CAB" w:rsidP="00C42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D14CAB" w:rsidRPr="007D5748" w:rsidTr="00C42510">
        <w:trPr>
          <w:trHeight w:val="255"/>
        </w:trPr>
        <w:tc>
          <w:tcPr>
            <w:tcW w:w="4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CAB" w:rsidRDefault="00D14CAB" w:rsidP="00012A5B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Prijaté úvery, pôžičky a návratné finančné výpomoci (500)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</w:tcPr>
          <w:p w:rsidR="00D14CAB" w:rsidRDefault="00D14CAB" w:rsidP="00012A5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</w:tcPr>
          <w:p w:rsidR="00D14CAB" w:rsidRDefault="00D14CAB" w:rsidP="00012A5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</w:tcPr>
          <w:p w:rsidR="00D14CAB" w:rsidRDefault="00D14CAB" w:rsidP="00012A5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</w:tcPr>
          <w:p w:rsidR="00D14CAB" w:rsidRDefault="00D14CAB" w:rsidP="00012A5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000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D14CAB" w:rsidRPr="007D5748" w:rsidRDefault="00D14CAB" w:rsidP="00C42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D14CAB" w:rsidRPr="007D5748" w:rsidTr="00C42510">
        <w:trPr>
          <w:trHeight w:val="255"/>
        </w:trPr>
        <w:tc>
          <w:tcPr>
            <w:tcW w:w="4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D14CAB" w:rsidRDefault="00D14CAB" w:rsidP="00012A5B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Dopad na príjmy verejnej správy celkom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D14CAB" w:rsidRDefault="00D14CAB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D14CAB" w:rsidRDefault="00D14CAB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D14CAB" w:rsidRDefault="00D14CAB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D14CAB" w:rsidRDefault="00D14CAB" w:rsidP="00012A5B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6 085 500</w:t>
            </w:r>
          </w:p>
        </w:tc>
        <w:tc>
          <w:tcPr>
            <w:tcW w:w="30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CAB" w:rsidRPr="007D5748" w:rsidRDefault="00D14CAB" w:rsidP="00012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tbl>
      <w:tblPr>
        <w:tblStyle w:val="Mriekatabuky"/>
        <w:tblW w:w="14029" w:type="dxa"/>
        <w:tblLook w:val="04A0" w:firstRow="1" w:lastRow="0" w:firstColumn="1" w:lastColumn="0" w:noHBand="0" w:noVBand="1"/>
      </w:tblPr>
      <w:tblGrid>
        <w:gridCol w:w="4957"/>
        <w:gridCol w:w="1417"/>
        <w:gridCol w:w="1559"/>
        <w:gridCol w:w="1560"/>
        <w:gridCol w:w="1559"/>
        <w:gridCol w:w="2977"/>
      </w:tblGrid>
      <w:tr w:rsidR="00D14CAB" w:rsidTr="00012A5B">
        <w:tc>
          <w:tcPr>
            <w:tcW w:w="4957" w:type="dxa"/>
            <w:vMerge w:val="restart"/>
            <w:shd w:val="clear" w:color="auto" w:fill="BFBFBF" w:themeFill="background1" w:themeFillShade="BF"/>
            <w:vAlign w:val="center"/>
          </w:tcPr>
          <w:p w:rsidR="00D14CAB" w:rsidRDefault="00D14CAB" w:rsidP="00012A5B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(v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tis.</w:t>
            </w: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eur)</w:t>
            </w:r>
          </w:p>
        </w:tc>
        <w:tc>
          <w:tcPr>
            <w:tcW w:w="6095" w:type="dxa"/>
            <w:gridSpan w:val="4"/>
            <w:shd w:val="clear" w:color="auto" w:fill="BFBFBF" w:themeFill="background1" w:themeFillShade="BF"/>
          </w:tcPr>
          <w:p w:rsidR="00D14CAB" w:rsidRDefault="00D14CAB" w:rsidP="00012A5B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2977" w:type="dxa"/>
            <w:vMerge w:val="restart"/>
            <w:shd w:val="clear" w:color="auto" w:fill="BFBFBF" w:themeFill="background1" w:themeFillShade="BF"/>
            <w:vAlign w:val="center"/>
          </w:tcPr>
          <w:p w:rsidR="00D14CAB" w:rsidRDefault="00D14CAB" w:rsidP="00012A5B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D14CAB" w:rsidTr="00012A5B">
        <w:tc>
          <w:tcPr>
            <w:tcW w:w="4957" w:type="dxa"/>
            <w:vMerge/>
            <w:shd w:val="clear" w:color="auto" w:fill="BFBFBF" w:themeFill="background1" w:themeFillShade="BF"/>
          </w:tcPr>
          <w:p w:rsidR="00D14CAB" w:rsidRDefault="00D14CAB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D14CAB" w:rsidRPr="00526826" w:rsidRDefault="00D14CAB" w:rsidP="00012A5B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D14CAB" w:rsidRPr="00526826" w:rsidRDefault="00D14CAB" w:rsidP="00012A5B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2023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D14CAB" w:rsidRPr="00526826" w:rsidRDefault="00D14CAB" w:rsidP="00012A5B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2024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D14CAB" w:rsidRPr="00526826" w:rsidRDefault="00D14CAB" w:rsidP="00012A5B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2025</w:t>
            </w:r>
          </w:p>
        </w:tc>
        <w:tc>
          <w:tcPr>
            <w:tcW w:w="2977" w:type="dxa"/>
            <w:vMerge/>
            <w:shd w:val="clear" w:color="auto" w:fill="BFBFBF" w:themeFill="background1" w:themeFillShade="BF"/>
          </w:tcPr>
          <w:p w:rsidR="00D14CAB" w:rsidRDefault="00D14CAB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</w:tr>
      <w:tr w:rsidR="003B4E3C" w:rsidTr="00012A5B">
        <w:tc>
          <w:tcPr>
            <w:tcW w:w="4957" w:type="dxa"/>
            <w:shd w:val="clear" w:color="auto" w:fill="FFFFFF" w:themeFill="background1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Daňové príjmy (100)</w:t>
            </w: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3B4E3C" w:rsidRPr="00526826" w:rsidRDefault="003B4E3C" w:rsidP="00012A5B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 w:rsidRPr="00526826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3B4E3C" w:rsidRPr="00A10DEC" w:rsidRDefault="003B4E3C" w:rsidP="00012A5B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 w:rsidRPr="00A10DE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  <w:t>0</w:t>
            </w:r>
          </w:p>
        </w:tc>
        <w:tc>
          <w:tcPr>
            <w:tcW w:w="1560" w:type="dxa"/>
            <w:shd w:val="clear" w:color="auto" w:fill="FFFFFF" w:themeFill="background1"/>
            <w:vAlign w:val="bottom"/>
          </w:tcPr>
          <w:p w:rsidR="003B4E3C" w:rsidRPr="00A10DEC" w:rsidRDefault="003B4E3C" w:rsidP="00012A5B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  <w:t>4 057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B4E3C" w:rsidRPr="00A97B22" w:rsidRDefault="003B4E3C" w:rsidP="00012A5B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 w:rsidRPr="00A97B22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  <w:t xml:space="preserve">6 088 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</w:tcPr>
          <w:p w:rsidR="003B4E3C" w:rsidRPr="00A97B22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A97B2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  <w:t>Zavedenie pravidla o obmedzení úrokových nákladov</w:t>
            </w:r>
          </w:p>
          <w:p w:rsidR="003B4E3C" w:rsidRPr="00A97B22" w:rsidRDefault="003B4E3C" w:rsidP="00012A5B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</w:tr>
      <w:tr w:rsidR="003B4E3C" w:rsidTr="00012A5B">
        <w:tc>
          <w:tcPr>
            <w:tcW w:w="4957" w:type="dxa"/>
            <w:shd w:val="clear" w:color="auto" w:fill="FFFFFF" w:themeFill="background1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DPPO (112)</w:t>
            </w:r>
          </w:p>
        </w:tc>
        <w:tc>
          <w:tcPr>
            <w:tcW w:w="1417" w:type="dxa"/>
            <w:shd w:val="clear" w:color="auto" w:fill="FFFFFF" w:themeFill="background1"/>
          </w:tcPr>
          <w:p w:rsidR="003B4E3C" w:rsidRPr="00526826" w:rsidRDefault="003B4E3C" w:rsidP="00012A5B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 w:rsidRPr="00526826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3B4E3C" w:rsidRPr="00A10DEC" w:rsidRDefault="003B4E3C" w:rsidP="00012A5B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 w:rsidRPr="00A10DE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  <w:t>0</w:t>
            </w:r>
          </w:p>
        </w:tc>
        <w:tc>
          <w:tcPr>
            <w:tcW w:w="1560" w:type="dxa"/>
            <w:shd w:val="clear" w:color="auto" w:fill="FFFFFF" w:themeFill="background1"/>
            <w:vAlign w:val="bottom"/>
          </w:tcPr>
          <w:p w:rsidR="003B4E3C" w:rsidRPr="00A10DEC" w:rsidRDefault="003B4E3C" w:rsidP="00012A5B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  <w:t>4 057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3B4E3C" w:rsidRPr="00A10DEC" w:rsidRDefault="003B4E3C" w:rsidP="00012A5B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 w:rsidRPr="00A97B22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  <w:t>6 088</w:t>
            </w:r>
          </w:p>
        </w:tc>
        <w:tc>
          <w:tcPr>
            <w:tcW w:w="2977" w:type="dxa"/>
            <w:vMerge/>
            <w:shd w:val="clear" w:color="auto" w:fill="FFFFFF" w:themeFill="background1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</w:tr>
      <w:tr w:rsidR="003B4E3C" w:rsidTr="00012A5B">
        <w:tc>
          <w:tcPr>
            <w:tcW w:w="4957" w:type="dxa"/>
            <w:shd w:val="clear" w:color="auto" w:fill="FFFFFF" w:themeFill="background1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Nedaňové príjmy (200)</w:t>
            </w: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B4E3C" w:rsidRPr="006F1FD4" w:rsidRDefault="003B4E3C" w:rsidP="00012A5B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</w:tr>
      <w:tr w:rsidR="003B4E3C" w:rsidTr="00012A5B">
        <w:tc>
          <w:tcPr>
            <w:tcW w:w="4957" w:type="dxa"/>
            <w:shd w:val="clear" w:color="auto" w:fill="FFFFFF" w:themeFill="background1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Granty a transfery (300)</w:t>
            </w: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B4E3C" w:rsidRPr="006F1FD4" w:rsidRDefault="003B4E3C" w:rsidP="00012A5B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</w:tr>
      <w:tr w:rsidR="003B4E3C" w:rsidTr="00012A5B">
        <w:tc>
          <w:tcPr>
            <w:tcW w:w="4957" w:type="dxa"/>
            <w:shd w:val="clear" w:color="auto" w:fill="FFFFFF" w:themeFill="background1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z transakcií s finančnými aktívami a finančnými pasívami (400)</w:t>
            </w:r>
          </w:p>
        </w:tc>
        <w:tc>
          <w:tcPr>
            <w:tcW w:w="1417" w:type="dxa"/>
            <w:shd w:val="clear" w:color="auto" w:fill="FFFF99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559" w:type="dxa"/>
            <w:shd w:val="clear" w:color="auto" w:fill="FFFF99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560" w:type="dxa"/>
            <w:shd w:val="clear" w:color="auto" w:fill="FFFF99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559" w:type="dxa"/>
            <w:shd w:val="clear" w:color="auto" w:fill="FFFF99"/>
          </w:tcPr>
          <w:p w:rsidR="003B4E3C" w:rsidRPr="006F1FD4" w:rsidRDefault="003B4E3C" w:rsidP="00012A5B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</w:tr>
      <w:tr w:rsidR="003B4E3C" w:rsidTr="00012A5B">
        <w:tc>
          <w:tcPr>
            <w:tcW w:w="4957" w:type="dxa"/>
            <w:shd w:val="clear" w:color="auto" w:fill="FFFFFF" w:themeFill="background1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Prijaté úvery, pôžičky a návratné finančné výpomoci (500)</w:t>
            </w:r>
          </w:p>
        </w:tc>
        <w:tc>
          <w:tcPr>
            <w:tcW w:w="1417" w:type="dxa"/>
            <w:shd w:val="clear" w:color="auto" w:fill="FFFF99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559" w:type="dxa"/>
            <w:shd w:val="clear" w:color="auto" w:fill="FFFF99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560" w:type="dxa"/>
            <w:shd w:val="clear" w:color="auto" w:fill="FFFF99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559" w:type="dxa"/>
            <w:shd w:val="clear" w:color="auto" w:fill="FFFF99"/>
          </w:tcPr>
          <w:p w:rsidR="003B4E3C" w:rsidRPr="006F1FD4" w:rsidRDefault="003B4E3C" w:rsidP="00012A5B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</w:tr>
      <w:tr w:rsidR="003B4E3C" w:rsidTr="00012A5B">
        <w:tc>
          <w:tcPr>
            <w:tcW w:w="4957" w:type="dxa"/>
            <w:shd w:val="clear" w:color="auto" w:fill="BFBFBF" w:themeFill="background1" w:themeFillShade="BF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Dopad na príjmy verejnej správy celkom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3B4E3C" w:rsidRPr="00526826" w:rsidRDefault="003B4E3C" w:rsidP="00012A5B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  <w:t>0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bottom"/>
          </w:tcPr>
          <w:p w:rsidR="003B4E3C" w:rsidRPr="00A10DEC" w:rsidRDefault="003B4E3C" w:rsidP="00012A5B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 w:rsidRPr="00A10DE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  <w:t>0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bottom"/>
          </w:tcPr>
          <w:p w:rsidR="003B4E3C" w:rsidRPr="00A10DEC" w:rsidRDefault="003B4E3C" w:rsidP="00012A5B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  <w:t>4 057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bottom"/>
          </w:tcPr>
          <w:p w:rsidR="003B4E3C" w:rsidRPr="00A10DEC" w:rsidRDefault="003B4E3C" w:rsidP="00012A5B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 w:rsidRPr="00A97B22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  <w:t>6 088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:rsidR="003B4E3C" w:rsidRDefault="003B4E3C" w:rsidP="00012A5B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</w:tr>
    </w:tbl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Tabuľka č. 4 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tbl>
      <w:tblPr>
        <w:tblpPr w:leftFromText="141" w:rightFromText="141" w:vertAnchor="text" w:horzAnchor="page" w:tblpX="629" w:tblpY="2"/>
        <w:tblW w:w="154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0"/>
        <w:gridCol w:w="1540"/>
        <w:gridCol w:w="1540"/>
        <w:gridCol w:w="1540"/>
        <w:gridCol w:w="1540"/>
        <w:gridCol w:w="2220"/>
      </w:tblGrid>
      <w:tr w:rsidR="007D5748" w:rsidRPr="007D5748" w:rsidTr="00E723C5">
        <w:trPr>
          <w:cantSplit/>
          <w:trHeight w:val="255"/>
        </w:trPr>
        <w:tc>
          <w:tcPr>
            <w:tcW w:w="7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(v eurách)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Vplyv na rozpočet verejnej správy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7D5748" w:rsidRPr="007D5748" w:rsidTr="00E723C5">
        <w:trPr>
          <w:cantSplit/>
          <w:trHeight w:val="255"/>
        </w:trPr>
        <w:tc>
          <w:tcPr>
            <w:tcW w:w="7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3B4E3C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3B4E3C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3B4E3C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3B4E3C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2025</w:t>
            </w: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3B4E3C" w:rsidRPr="007D5748" w:rsidTr="00B745D4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3C" w:rsidRPr="007D5748" w:rsidRDefault="003B4E3C" w:rsidP="003B4E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Bežné výdavky (600)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E3C" w:rsidRPr="007D5748" w:rsidRDefault="003B4E3C" w:rsidP="003B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B4E3C" w:rsidRPr="007D5748" w:rsidTr="00B745D4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3C" w:rsidRPr="007D5748" w:rsidRDefault="003B4E3C" w:rsidP="003B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Mzdy, platy, služobné príjmy a ostatné osobné vyrovnania (610)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E3C" w:rsidRPr="007D5748" w:rsidRDefault="003B4E3C" w:rsidP="003B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B4E3C" w:rsidRPr="007D5748" w:rsidTr="00B745D4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3C" w:rsidRPr="007D5748" w:rsidRDefault="003B4E3C" w:rsidP="003B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Poistné a príspevok do poisťovní (620)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E3C" w:rsidRPr="007D5748" w:rsidRDefault="003B4E3C" w:rsidP="003B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B4E3C" w:rsidRPr="007D5748" w:rsidTr="00B745D4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3C" w:rsidRPr="007D5748" w:rsidRDefault="003B4E3C" w:rsidP="003B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Tovary a služby (630)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E3C" w:rsidRPr="007D5748" w:rsidRDefault="003B4E3C" w:rsidP="003B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B4E3C" w:rsidRPr="007D5748" w:rsidTr="00B745D4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3C" w:rsidRPr="007D5748" w:rsidRDefault="003B4E3C" w:rsidP="003B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Bežné transfery (640)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E3C" w:rsidRPr="007D5748" w:rsidRDefault="003B4E3C" w:rsidP="003B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B4E3C" w:rsidRPr="007D5748" w:rsidTr="00B745D4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Pr="007D5748" w:rsidRDefault="003B4E3C" w:rsidP="003B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Splácanie úrokov a ostatné platby súvisiace s </w:t>
            </w:r>
            <w:r>
              <w:t xml:space="preserve"> </w:t>
            </w:r>
            <w:r w:rsidRPr="008D339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úverom, pôžičkou, návratnou finančnou výpomocou a finančným prenájmom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(650)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E3C" w:rsidRPr="007D5748" w:rsidRDefault="003B4E3C" w:rsidP="003B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B4E3C" w:rsidRPr="007D5748" w:rsidTr="00B745D4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3C" w:rsidRPr="007D5748" w:rsidRDefault="003B4E3C" w:rsidP="003B4E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Kapitálové výdavky (700)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Pr="003B4E3C" w:rsidRDefault="003B4E3C" w:rsidP="003B4E3C">
            <w:pPr>
              <w:spacing w:after="0"/>
              <w:jc w:val="right"/>
              <w:rPr>
                <w:b/>
                <w:color w:val="000000"/>
                <w:sz w:val="20"/>
                <w:szCs w:val="20"/>
              </w:rPr>
            </w:pPr>
            <w:r w:rsidRPr="003B4E3C">
              <w:rPr>
                <w:b/>
                <w:color w:val="000000"/>
                <w:sz w:val="20"/>
                <w:szCs w:val="20"/>
              </w:rPr>
              <w:t>126 084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E3C" w:rsidRDefault="003B4E3C" w:rsidP="003B4E3C">
            <w:pPr>
              <w:spacing w:after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E3C" w:rsidRPr="007D5748" w:rsidRDefault="003B4E3C" w:rsidP="003B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B4E3C" w:rsidRPr="007D5748" w:rsidTr="00E723C5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3C" w:rsidRPr="007D5748" w:rsidRDefault="003B4E3C" w:rsidP="003B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Obstarávanie kapitálových aktív (710)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4E3C" w:rsidRPr="003B4E3C" w:rsidRDefault="003B4E3C" w:rsidP="003B4E3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3B4E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126 084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4E3C" w:rsidRPr="007D5748" w:rsidRDefault="003B4E3C" w:rsidP="003B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4E3C" w:rsidRPr="007D5748" w:rsidRDefault="003B4E3C" w:rsidP="003B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4E3C" w:rsidRPr="007D5748" w:rsidRDefault="003B4E3C" w:rsidP="003B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E3C" w:rsidRPr="007D5748" w:rsidRDefault="003B4E3C" w:rsidP="003B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523AAC" w:rsidRPr="007D5748" w:rsidTr="00E723C5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AC" w:rsidRPr="007D5748" w:rsidRDefault="00F122E6" w:rsidP="00F122E6">
            <w:pPr>
              <w:spacing w:after="0" w:line="240" w:lineRule="auto"/>
              <w:ind w:left="209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 tom: Rekonštrukcia a modernizácia (718)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3AAC" w:rsidRPr="003B4E3C" w:rsidRDefault="00F122E6" w:rsidP="003B4E3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126 084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3AAC" w:rsidRPr="007D5748" w:rsidRDefault="00523AAC" w:rsidP="003B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3AAC" w:rsidRPr="007D5748" w:rsidRDefault="00523AAC" w:rsidP="003B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3AAC" w:rsidRPr="007D5748" w:rsidRDefault="00523AAC" w:rsidP="003B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3AAC" w:rsidRPr="007D5748" w:rsidRDefault="00523AAC" w:rsidP="003B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B4E3C" w:rsidRPr="007D5748" w:rsidTr="00E723C5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3C" w:rsidRPr="007D5748" w:rsidRDefault="003B4E3C" w:rsidP="003B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Kapitálové transfery (720)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4E3C" w:rsidRPr="007D5748" w:rsidRDefault="003B4E3C" w:rsidP="003B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4E3C" w:rsidRPr="007D5748" w:rsidRDefault="003B4E3C" w:rsidP="003B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4E3C" w:rsidRPr="007D5748" w:rsidRDefault="003B4E3C" w:rsidP="003B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4E3C" w:rsidRPr="007D5748" w:rsidRDefault="003B4E3C" w:rsidP="003B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E3C" w:rsidRPr="007D5748" w:rsidRDefault="003B4E3C" w:rsidP="003B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B4E3C" w:rsidRPr="007D5748" w:rsidTr="00E723C5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3C" w:rsidRPr="007D5748" w:rsidRDefault="003B4E3C" w:rsidP="003B4E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lastRenderedPageBreak/>
              <w:t>Výdavky z transakcií s finančnými aktívami a finančnými pasívami (800)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3B4E3C" w:rsidRPr="007D5748" w:rsidRDefault="003B4E3C" w:rsidP="003B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3B4E3C" w:rsidRPr="007D5748" w:rsidRDefault="003B4E3C" w:rsidP="003B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3B4E3C" w:rsidRPr="007D5748" w:rsidRDefault="003B4E3C" w:rsidP="003B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3B4E3C" w:rsidRPr="007D5748" w:rsidRDefault="003B4E3C" w:rsidP="003B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E3C" w:rsidRPr="007D5748" w:rsidRDefault="003B4E3C" w:rsidP="003B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B4E3C" w:rsidRPr="007D5748" w:rsidTr="00F122E6">
        <w:trPr>
          <w:trHeight w:val="255"/>
        </w:trPr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B4E3C" w:rsidRPr="007D5748" w:rsidRDefault="003B4E3C" w:rsidP="003B4E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Dopad na výdavky verejnej správy celkom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B4E3C" w:rsidRPr="007D5748" w:rsidRDefault="00F122E6" w:rsidP="00F122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126 084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B4E3C" w:rsidRPr="007D5748" w:rsidRDefault="003B4E3C" w:rsidP="00F122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B4E3C" w:rsidRPr="007D5748" w:rsidRDefault="003B4E3C" w:rsidP="00F122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B4E3C" w:rsidRPr="007D5748" w:rsidRDefault="003B4E3C" w:rsidP="00F122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0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3B4E3C" w:rsidRPr="007D5748" w:rsidRDefault="003B4E3C" w:rsidP="003B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</w:tbl>
    <w:p w:rsidR="007D5748" w:rsidRPr="007D5748" w:rsidRDefault="007D5748" w:rsidP="007D5748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            Tabuľka č. 5 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tbl>
      <w:tblPr>
        <w:tblW w:w="15434" w:type="dxa"/>
        <w:tblInd w:w="-7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88"/>
        <w:gridCol w:w="1698"/>
        <w:gridCol w:w="1788"/>
        <w:gridCol w:w="2418"/>
        <w:gridCol w:w="1722"/>
        <w:gridCol w:w="1620"/>
      </w:tblGrid>
      <w:tr w:rsidR="007D5748" w:rsidRPr="007D5748" w:rsidTr="00F122E6">
        <w:trPr>
          <w:cantSplit/>
          <w:trHeight w:val="255"/>
        </w:trPr>
        <w:tc>
          <w:tcPr>
            <w:tcW w:w="6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Zamestnanosť</w:t>
            </w:r>
          </w:p>
        </w:tc>
        <w:tc>
          <w:tcPr>
            <w:tcW w:w="7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7D5748" w:rsidRPr="007D5748" w:rsidTr="00F122E6">
        <w:trPr>
          <w:cantSplit/>
          <w:trHeight w:val="255"/>
        </w:trPr>
        <w:tc>
          <w:tcPr>
            <w:tcW w:w="6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F122E6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F122E6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2023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F122E6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F122E6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2025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7D5748" w:rsidRPr="007D5748" w:rsidTr="00F122E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Počet zamestnancov celkom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F122E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D5748" w:rsidRPr="007D5748" w:rsidTr="00F122E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Priemerný mzdový výdavok (v eurách)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F122E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F122E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Osobné výdavky celkom (v eurách)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F122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F122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F122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F122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F122E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Mzdy, platy, služobné príjmy a ostatné osobné vyrovnania (610)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F122E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F122E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Poistné a príspevok do poisťovní (620)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F122E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F122E6">
        <w:trPr>
          <w:trHeight w:val="255"/>
        </w:trPr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D5748" w:rsidRPr="007D5748" w:rsidTr="00F122E6">
        <w:trPr>
          <w:trHeight w:val="255"/>
        </w:trPr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:rsidR="003C181F" w:rsidRDefault="003C181F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sectPr w:rsidR="003C181F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3C181F" w:rsidRDefault="003C181F" w:rsidP="003C181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sectPr w:rsidR="003C18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ECB" w:rsidRDefault="00527ECB">
      <w:pPr>
        <w:spacing w:after="0" w:line="240" w:lineRule="auto"/>
      </w:pPr>
      <w:r>
        <w:separator/>
      </w:r>
    </w:p>
  </w:endnote>
  <w:endnote w:type="continuationSeparator" w:id="0">
    <w:p w:rsidR="00527ECB" w:rsidRDefault="00527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ECB" w:rsidRDefault="00527ECB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10</w:t>
    </w:r>
    <w:r>
      <w:rPr>
        <w:rStyle w:val="slostrany"/>
      </w:rPr>
      <w:fldChar w:fldCharType="end"/>
    </w:r>
  </w:p>
  <w:p w:rsidR="00527ECB" w:rsidRDefault="00527ECB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1" w:name="_GoBack"/>
  <w:bookmarkEnd w:id="1"/>
  <w:p w:rsidR="00527ECB" w:rsidRDefault="00527ECB" w:rsidP="00332F34">
    <w:pPr>
      <w:pStyle w:val="Pta"/>
      <w:jc w:val="center"/>
    </w:pPr>
    <w:r>
      <w:fldChar w:fldCharType="begin"/>
    </w:r>
    <w:r>
      <w:instrText>PAGE   \* MERGEFORMAT</w:instrText>
    </w:r>
    <w:r>
      <w:fldChar w:fldCharType="separate"/>
    </w:r>
    <w:r w:rsidR="00332F34">
      <w:rPr>
        <w:noProof/>
      </w:rPr>
      <w:t>1</w:t>
    </w:r>
    <w:r>
      <w:fldChar w:fldCharType="end"/>
    </w:r>
  </w:p>
  <w:p w:rsidR="00527ECB" w:rsidRDefault="00527ECB">
    <w:pPr>
      <w:pStyle w:val="Pt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ECB" w:rsidRDefault="00527ECB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0</w:t>
    </w:r>
    <w:r>
      <w:fldChar w:fldCharType="end"/>
    </w:r>
  </w:p>
  <w:p w:rsidR="00527ECB" w:rsidRDefault="00527EC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ECB" w:rsidRDefault="00527ECB">
      <w:pPr>
        <w:spacing w:after="0" w:line="240" w:lineRule="auto"/>
      </w:pPr>
      <w:r>
        <w:separator/>
      </w:r>
    </w:p>
  </w:footnote>
  <w:footnote w:type="continuationSeparator" w:id="0">
    <w:p w:rsidR="00527ECB" w:rsidRDefault="00527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ECB" w:rsidRDefault="00527ECB" w:rsidP="00E723C5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  <w:p w:rsidR="00527ECB" w:rsidRPr="00EB59C8" w:rsidRDefault="00527ECB" w:rsidP="00E723C5">
    <w:pPr>
      <w:pStyle w:val="Hlavika"/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ECB" w:rsidRPr="0024067A" w:rsidRDefault="00527ECB">
    <w:pPr>
      <w:pStyle w:val="Hlavika"/>
      <w:jc w:val="right"/>
      <w:rPr>
        <w:sz w:val="24"/>
        <w:szCs w:val="24"/>
      </w:rPr>
    </w:pPr>
    <w:r w:rsidRPr="0024067A">
      <w:rPr>
        <w:sz w:val="24"/>
        <w:szCs w:val="24"/>
      </w:rPr>
      <w:t>Príloha č.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ECB" w:rsidRPr="000A15AE" w:rsidRDefault="00527ECB" w:rsidP="00E723C5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741B6"/>
    <w:multiLevelType w:val="hybridMultilevel"/>
    <w:tmpl w:val="06040940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C70E7"/>
    <w:multiLevelType w:val="hybridMultilevel"/>
    <w:tmpl w:val="2FD8FA2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D12712"/>
    <w:multiLevelType w:val="hybridMultilevel"/>
    <w:tmpl w:val="9366134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343834"/>
    <w:multiLevelType w:val="hybridMultilevel"/>
    <w:tmpl w:val="0332CC6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8B70AD"/>
    <w:multiLevelType w:val="hybridMultilevel"/>
    <w:tmpl w:val="BBAAD950"/>
    <w:lvl w:ilvl="0" w:tplc="518CBFB8">
      <w:start w:val="1"/>
      <w:numFmt w:val="upperLetter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5EC"/>
    <w:rsid w:val="00035EB6"/>
    <w:rsid w:val="00057135"/>
    <w:rsid w:val="001127A8"/>
    <w:rsid w:val="00170D2B"/>
    <w:rsid w:val="001B1CFE"/>
    <w:rsid w:val="00200898"/>
    <w:rsid w:val="00212894"/>
    <w:rsid w:val="00317B90"/>
    <w:rsid w:val="00332F34"/>
    <w:rsid w:val="003468BE"/>
    <w:rsid w:val="003B4E3C"/>
    <w:rsid w:val="003C181F"/>
    <w:rsid w:val="003F7A04"/>
    <w:rsid w:val="004624D0"/>
    <w:rsid w:val="00487203"/>
    <w:rsid w:val="005005EC"/>
    <w:rsid w:val="00523AAC"/>
    <w:rsid w:val="00527ECB"/>
    <w:rsid w:val="006320E4"/>
    <w:rsid w:val="00664314"/>
    <w:rsid w:val="007246BD"/>
    <w:rsid w:val="007247BB"/>
    <w:rsid w:val="007774A8"/>
    <w:rsid w:val="007777F4"/>
    <w:rsid w:val="007D5748"/>
    <w:rsid w:val="008D339D"/>
    <w:rsid w:val="008E2736"/>
    <w:rsid w:val="009706B7"/>
    <w:rsid w:val="0098553A"/>
    <w:rsid w:val="00B5535C"/>
    <w:rsid w:val="00C15212"/>
    <w:rsid w:val="00C51FD4"/>
    <w:rsid w:val="00CB3623"/>
    <w:rsid w:val="00CE299A"/>
    <w:rsid w:val="00D14CAB"/>
    <w:rsid w:val="00D46EB7"/>
    <w:rsid w:val="00DE5BF1"/>
    <w:rsid w:val="00E07CE9"/>
    <w:rsid w:val="00E723C5"/>
    <w:rsid w:val="00E963A3"/>
    <w:rsid w:val="00EA1E90"/>
    <w:rsid w:val="00F122E6"/>
    <w:rsid w:val="00F4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96BA50-05E8-42CA-B2E8-7541D366E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7D5748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1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17B90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3B4E3C"/>
    <w:pPr>
      <w:ind w:left="720"/>
      <w:contextualSpacing/>
    </w:pPr>
  </w:style>
  <w:style w:type="table" w:styleId="Mriekatabuky">
    <w:name w:val="Table Grid"/>
    <w:basedOn w:val="Normlnatabuka"/>
    <w:uiPriority w:val="59"/>
    <w:rsid w:val="003B4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2C7B2B9-D707-4816-BA2E-943012690F1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A5826CD-4E64-4188-8EA2-3031FF4D0C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A9051-817C-40AE-8BAD-EB7BC4EF6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7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Vidova Michaela</cp:lastModifiedBy>
  <cp:revision>7</cp:revision>
  <cp:lastPrinted>2022-06-17T09:28:00Z</cp:lastPrinted>
  <dcterms:created xsi:type="dcterms:W3CDTF">2022-06-16T09:37:00Z</dcterms:created>
  <dcterms:modified xsi:type="dcterms:W3CDTF">2022-06-17T09:33:00Z</dcterms:modified>
</cp:coreProperties>
</file>